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40" w:rsidRDefault="00F95F41">
      <w:pPr>
        <w:rPr>
          <w:rFonts w:ascii="標楷體" w:eastAsia="標楷體" w:hAnsi="標楷體" w:cs="新細明體"/>
          <w:kern w:val="0"/>
          <w:sz w:val="20"/>
          <w:szCs w:val="20"/>
        </w:rPr>
      </w:pPr>
      <w:r w:rsidRPr="002B5543">
        <w:rPr>
          <w:rFonts w:ascii="標楷體" w:eastAsia="標楷體" w:hAnsi="標楷體" w:cs="新細明體"/>
          <w:kern w:val="0"/>
          <w:sz w:val="28"/>
          <w:szCs w:val="28"/>
        </w:rPr>
        <w:fldChar w:fldCharType="begin"/>
      </w:r>
      <w:r w:rsidRPr="002B5543">
        <w:rPr>
          <w:rFonts w:ascii="標楷體" w:eastAsia="標楷體" w:hAnsi="標楷體" w:cs="新細明體"/>
          <w:kern w:val="0"/>
          <w:sz w:val="28"/>
          <w:szCs w:val="28"/>
        </w:rPr>
        <w:instrText xml:space="preserve"> HYPERLINK "http://web.law.tpc.gov.tw/Scripts/newsdetail.asp?no=1A0240036" </w:instrText>
      </w:r>
      <w:r w:rsidRPr="002B5543">
        <w:rPr>
          <w:rFonts w:ascii="標楷體" w:eastAsia="標楷體" w:hAnsi="標楷體" w:cs="新細明體"/>
          <w:kern w:val="0"/>
          <w:sz w:val="28"/>
          <w:szCs w:val="28"/>
        </w:rPr>
        <w:fldChar w:fldCharType="separate"/>
      </w:r>
      <w:r w:rsidRPr="002B5543">
        <w:rPr>
          <w:rFonts w:ascii="標楷體" w:eastAsia="標楷體" w:hAnsi="標楷體" w:cs="新細明體" w:hint="eastAsia"/>
          <w:color w:val="0066CC"/>
          <w:kern w:val="0"/>
          <w:sz w:val="28"/>
          <w:szCs w:val="28"/>
        </w:rPr>
        <w:t>新北市</w:t>
      </w:r>
      <w:r w:rsidRPr="002B5543">
        <w:rPr>
          <w:rFonts w:ascii="標楷體" w:eastAsia="標楷體" w:hAnsi="標楷體" w:cs="新細明體"/>
          <w:color w:val="0066CC"/>
          <w:kern w:val="0"/>
          <w:sz w:val="28"/>
          <w:szCs w:val="28"/>
        </w:rPr>
        <w:t>立淡水古蹟博物館場地使用管理要點</w:t>
      </w:r>
      <w:r w:rsidRPr="002B5543">
        <w:rPr>
          <w:rFonts w:ascii="標楷體" w:eastAsia="標楷體" w:hAnsi="標楷體" w:cs="新細明體"/>
          <w:kern w:val="0"/>
          <w:sz w:val="28"/>
          <w:szCs w:val="28"/>
        </w:rPr>
        <w:fldChar w:fldCharType="end"/>
      </w:r>
      <w:r w:rsidRPr="002B5543">
        <w:rPr>
          <w:rFonts w:ascii="標楷體" w:eastAsia="標楷體" w:hAnsi="標楷體" w:cs="新細明體"/>
          <w:kern w:val="0"/>
        </w:rPr>
        <w:t xml:space="preserve"> </w:t>
      </w:r>
      <w:r w:rsidRPr="002B5543">
        <w:rPr>
          <w:rFonts w:ascii="標楷體" w:eastAsia="標楷體" w:hAnsi="標楷體" w:cs="新細明體"/>
          <w:kern w:val="0"/>
          <w:sz w:val="20"/>
          <w:szCs w:val="20"/>
        </w:rPr>
        <w:t>(民國</w:t>
      </w:r>
      <w:r w:rsidRPr="002B5543">
        <w:rPr>
          <w:rFonts w:ascii="標楷體" w:eastAsia="標楷體" w:hAnsi="標楷體" w:cs="新細明體" w:hint="eastAsia"/>
          <w:kern w:val="0"/>
          <w:sz w:val="20"/>
          <w:szCs w:val="20"/>
        </w:rPr>
        <w:t>109</w:t>
      </w:r>
      <w:r w:rsidRPr="002B5543">
        <w:rPr>
          <w:rFonts w:ascii="標楷體" w:eastAsia="標楷體" w:hAnsi="標楷體" w:cs="新細明體"/>
          <w:kern w:val="0"/>
          <w:sz w:val="20"/>
          <w:szCs w:val="20"/>
        </w:rPr>
        <w:t>年</w:t>
      </w:r>
      <w:r w:rsidRPr="002B5543">
        <w:rPr>
          <w:rFonts w:ascii="標楷體" w:eastAsia="標楷體" w:hAnsi="標楷體" w:cs="新細明體" w:hint="eastAsia"/>
          <w:kern w:val="0"/>
          <w:sz w:val="20"/>
          <w:szCs w:val="20"/>
        </w:rPr>
        <w:t>12</w:t>
      </w:r>
      <w:r w:rsidRPr="002B5543">
        <w:rPr>
          <w:rFonts w:ascii="標楷體" w:eastAsia="標楷體" w:hAnsi="標楷體" w:cs="新細明體"/>
          <w:kern w:val="0"/>
          <w:sz w:val="20"/>
          <w:szCs w:val="20"/>
        </w:rPr>
        <w:t>月</w:t>
      </w:r>
      <w:r w:rsidRPr="002B5543">
        <w:rPr>
          <w:rFonts w:ascii="標楷體" w:eastAsia="標楷體" w:hAnsi="標楷體" w:cs="新細明體" w:hint="eastAsia"/>
          <w:kern w:val="0"/>
          <w:sz w:val="20"/>
          <w:szCs w:val="20"/>
        </w:rPr>
        <w:t>1</w:t>
      </w:r>
      <w:r w:rsidR="006C3BB5">
        <w:rPr>
          <w:rFonts w:ascii="標楷體" w:eastAsia="標楷體" w:hAnsi="標楷體" w:cs="新細明體" w:hint="eastAsia"/>
          <w:kern w:val="0"/>
          <w:sz w:val="20"/>
          <w:szCs w:val="20"/>
        </w:rPr>
        <w:t>7</w:t>
      </w:r>
      <w:bookmarkStart w:id="0" w:name="_GoBack"/>
      <w:bookmarkEnd w:id="0"/>
      <w:r w:rsidRPr="002B5543">
        <w:rPr>
          <w:rFonts w:ascii="標楷體" w:eastAsia="標楷體" w:hAnsi="標楷體" w:cs="新細明體"/>
          <w:kern w:val="0"/>
          <w:sz w:val="20"/>
          <w:szCs w:val="20"/>
        </w:rPr>
        <w:t>日修正)</w:t>
      </w:r>
    </w:p>
    <w:p w:rsidR="00F95F41" w:rsidRPr="00945037" w:rsidRDefault="00945037" w:rsidP="00A32B35">
      <w:pPr>
        <w:pStyle w:val="a8"/>
        <w:numPr>
          <w:ilvl w:val="0"/>
          <w:numId w:val="1"/>
        </w:numPr>
        <w:spacing w:line="400" w:lineRule="exact"/>
        <w:ind w:leftChars="0" w:rightChars="-82" w:right="-197" w:hanging="482"/>
        <w:rPr>
          <w:rFonts w:ascii="標楷體" w:eastAsia="標楷體" w:hAnsi="標楷體"/>
          <w:szCs w:val="24"/>
        </w:rPr>
      </w:pPr>
      <w:r w:rsidRPr="00945037">
        <w:rPr>
          <w:rFonts w:ascii="標楷體" w:eastAsia="標楷體" w:hAnsi="標楷體" w:cs="細明體" w:hint="eastAsia"/>
          <w:kern w:val="0"/>
          <w:szCs w:val="24"/>
        </w:rPr>
        <w:t>新北市</w:t>
      </w:r>
      <w:r w:rsidRPr="00945037">
        <w:rPr>
          <w:rFonts w:ascii="標楷體" w:eastAsia="標楷體" w:hAnsi="標楷體" w:cs="細明體"/>
          <w:kern w:val="0"/>
          <w:szCs w:val="24"/>
        </w:rPr>
        <w:t>政府為</w:t>
      </w:r>
      <w:r w:rsidRPr="00945037">
        <w:rPr>
          <w:rFonts w:ascii="標楷體" w:eastAsia="標楷體" w:hAnsi="標楷體" w:cs="細明體" w:hint="eastAsia"/>
          <w:kern w:val="0"/>
          <w:szCs w:val="24"/>
        </w:rPr>
        <w:t>新北市</w:t>
      </w:r>
      <w:r w:rsidRPr="00945037">
        <w:rPr>
          <w:rFonts w:ascii="標楷體" w:eastAsia="標楷體" w:hAnsi="標楷體" w:cs="細明體"/>
          <w:kern w:val="0"/>
          <w:szCs w:val="24"/>
        </w:rPr>
        <w:t>立淡水古蹟博物館（以下簡稱本館）之服務民眾、推廣古蹟教育及文化活動，並有效管理本館場地及設施，特訂定本要點。</w:t>
      </w:r>
    </w:p>
    <w:p w:rsidR="00945037" w:rsidRPr="00945037" w:rsidRDefault="00945037" w:rsidP="00945037">
      <w:pPr>
        <w:pStyle w:val="a8"/>
        <w:numPr>
          <w:ilvl w:val="0"/>
          <w:numId w:val="1"/>
        </w:numPr>
        <w:spacing w:line="400" w:lineRule="exact"/>
        <w:ind w:leftChars="0" w:hanging="482"/>
        <w:rPr>
          <w:rFonts w:ascii="標楷體" w:eastAsia="標楷體" w:hAnsi="標楷體"/>
          <w:szCs w:val="24"/>
        </w:rPr>
      </w:pPr>
      <w:r w:rsidRPr="00945037">
        <w:rPr>
          <w:rFonts w:ascii="標楷體" w:eastAsia="標楷體" w:hAnsi="標楷體" w:cs="細明體"/>
          <w:kern w:val="0"/>
          <w:szCs w:val="24"/>
        </w:rPr>
        <w:t>本館場地使用範圍及使用人數限制如下：</w:t>
      </w:r>
    </w:p>
    <w:p w:rsidR="00945037" w:rsidRPr="00945037" w:rsidRDefault="00945037" w:rsidP="00AB22B5">
      <w:pPr>
        <w:pStyle w:val="a8"/>
        <w:numPr>
          <w:ilvl w:val="1"/>
          <w:numId w:val="2"/>
        </w:numPr>
        <w:spacing w:line="400" w:lineRule="exact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紅毛城：主樓北側卵石區（</w:t>
      </w:r>
      <w:r w:rsidRPr="00945037">
        <w:rPr>
          <w:rFonts w:ascii="標楷體" w:eastAsia="標楷體" w:hAnsi="標楷體" w:hint="eastAsia"/>
          <w:color w:val="FF0000"/>
          <w:szCs w:val="24"/>
        </w:rPr>
        <w:t>100</w:t>
      </w:r>
      <w:r>
        <w:rPr>
          <w:rFonts w:ascii="標楷體" w:eastAsia="標楷體" w:hAnsi="標楷體" w:hint="eastAsia"/>
          <w:szCs w:val="24"/>
        </w:rPr>
        <w:t>人）、主樓旁大草坪（</w:t>
      </w:r>
      <w:r w:rsidRPr="00945037">
        <w:rPr>
          <w:rFonts w:ascii="標楷體" w:eastAsia="標楷體" w:hAnsi="標楷體" w:hint="eastAsia"/>
          <w:color w:val="FF0000"/>
          <w:szCs w:val="24"/>
        </w:rPr>
        <w:t>400</w:t>
      </w:r>
      <w:r w:rsidRPr="00945037">
        <w:rPr>
          <w:rFonts w:ascii="標楷體" w:eastAsia="標楷體" w:hAnsi="標楷體" w:hint="eastAsia"/>
          <w:szCs w:val="24"/>
        </w:rPr>
        <w:t>人）、</w:t>
      </w:r>
      <w:r>
        <w:rPr>
          <w:rFonts w:ascii="標楷體" w:eastAsia="標楷體" w:hAnsi="標楷體" w:hint="eastAsia"/>
          <w:szCs w:val="24"/>
        </w:rPr>
        <w:t>辦公室旁草坪（</w:t>
      </w:r>
      <w:r w:rsidRPr="00945037">
        <w:rPr>
          <w:rFonts w:ascii="標楷體" w:eastAsia="標楷體" w:hAnsi="標楷體" w:hint="eastAsia"/>
          <w:color w:val="FF0000"/>
          <w:szCs w:val="24"/>
        </w:rPr>
        <w:t>80</w:t>
      </w:r>
      <w:r w:rsidRPr="00945037">
        <w:rPr>
          <w:rFonts w:ascii="標楷體" w:eastAsia="標楷體" w:hAnsi="標楷體" w:hint="eastAsia"/>
          <w:szCs w:val="24"/>
        </w:rPr>
        <w:t>人）。</w:t>
      </w:r>
    </w:p>
    <w:p w:rsidR="00945037" w:rsidRDefault="00945037" w:rsidP="009A2F6B">
      <w:pPr>
        <w:pStyle w:val="a8"/>
        <w:numPr>
          <w:ilvl w:val="1"/>
          <w:numId w:val="2"/>
        </w:numPr>
        <w:spacing w:line="400" w:lineRule="exact"/>
        <w:ind w:leftChars="0" w:rightChars="-142" w:right="-3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滬尾礮臺：中央廣場（不含遺址空間，</w:t>
      </w:r>
      <w:r w:rsidRPr="00945037">
        <w:rPr>
          <w:rFonts w:ascii="標楷體" w:eastAsia="標楷體" w:hAnsi="標楷體" w:hint="eastAsia"/>
          <w:color w:val="FF0000"/>
          <w:szCs w:val="24"/>
        </w:rPr>
        <w:t>300</w:t>
      </w:r>
      <w:r w:rsidRPr="00945037">
        <w:rPr>
          <w:rFonts w:ascii="標楷體" w:eastAsia="標楷體" w:hAnsi="標楷體" w:hint="eastAsia"/>
          <w:szCs w:val="24"/>
        </w:rPr>
        <w:t>人）、北側</w:t>
      </w:r>
      <w:proofErr w:type="gramStart"/>
      <w:r w:rsidRPr="00945037">
        <w:rPr>
          <w:rFonts w:ascii="標楷體" w:eastAsia="標楷體" w:hAnsi="標楷體" w:hint="eastAsia"/>
          <w:szCs w:val="24"/>
        </w:rPr>
        <w:t>特</w:t>
      </w:r>
      <w:proofErr w:type="gramEnd"/>
      <w:r w:rsidRPr="00945037">
        <w:rPr>
          <w:rFonts w:ascii="標楷體" w:eastAsia="標楷體" w:hAnsi="標楷體" w:hint="eastAsia"/>
          <w:szCs w:val="24"/>
        </w:rPr>
        <w:t>展室（</w:t>
      </w:r>
      <w:r w:rsidRPr="00945037">
        <w:rPr>
          <w:rFonts w:ascii="標楷體" w:eastAsia="標楷體" w:hAnsi="標楷體" w:hint="eastAsia"/>
          <w:color w:val="FF0000"/>
          <w:szCs w:val="24"/>
        </w:rPr>
        <w:t>200</w:t>
      </w:r>
      <w:r w:rsidRPr="00945037">
        <w:rPr>
          <w:rFonts w:ascii="標楷體" w:eastAsia="標楷體" w:hAnsi="標楷體" w:hint="eastAsia"/>
          <w:szCs w:val="24"/>
        </w:rPr>
        <w:t>人）、西側</w:t>
      </w:r>
      <w:proofErr w:type="gramStart"/>
      <w:r w:rsidRPr="00945037">
        <w:rPr>
          <w:rFonts w:ascii="標楷體" w:eastAsia="標楷體" w:hAnsi="標楷體" w:hint="eastAsia"/>
          <w:szCs w:val="24"/>
        </w:rPr>
        <w:t>特</w:t>
      </w:r>
      <w:proofErr w:type="gramEnd"/>
      <w:r w:rsidRPr="00945037">
        <w:rPr>
          <w:rFonts w:ascii="標楷體" w:eastAsia="標楷體" w:hAnsi="標楷體" w:hint="eastAsia"/>
          <w:szCs w:val="24"/>
        </w:rPr>
        <w:t>展室（</w:t>
      </w:r>
      <w:r w:rsidRPr="00945037">
        <w:rPr>
          <w:rFonts w:ascii="標楷體" w:eastAsia="標楷體" w:hAnsi="標楷體" w:hint="eastAsia"/>
          <w:color w:val="FF0000"/>
          <w:szCs w:val="24"/>
        </w:rPr>
        <w:t>250</w:t>
      </w:r>
      <w:r>
        <w:rPr>
          <w:rFonts w:ascii="標楷體" w:eastAsia="標楷體" w:hAnsi="標楷體" w:hint="eastAsia"/>
          <w:szCs w:val="24"/>
        </w:rPr>
        <w:t>人）、礮臺壕溝（</w:t>
      </w:r>
      <w:r w:rsidRPr="00945037">
        <w:rPr>
          <w:rFonts w:ascii="標楷體" w:eastAsia="標楷體" w:hAnsi="標楷體" w:hint="eastAsia"/>
          <w:color w:val="FF0000"/>
          <w:szCs w:val="24"/>
        </w:rPr>
        <w:t>300</w:t>
      </w:r>
      <w:r w:rsidRPr="00945037">
        <w:rPr>
          <w:rFonts w:ascii="標楷體" w:eastAsia="標楷體" w:hAnsi="標楷體" w:hint="eastAsia"/>
          <w:szCs w:val="24"/>
        </w:rPr>
        <w:t>人）。</w:t>
      </w:r>
    </w:p>
    <w:p w:rsidR="00945037" w:rsidRPr="00945037" w:rsidRDefault="001F647D" w:rsidP="00AB22B5">
      <w:pPr>
        <w:pStyle w:val="a8"/>
        <w:numPr>
          <w:ilvl w:val="1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前</w:t>
      </w:r>
      <w:proofErr w:type="gramStart"/>
      <w:r>
        <w:rPr>
          <w:rFonts w:ascii="標楷體" w:eastAsia="標楷體" w:hAnsi="標楷體" w:hint="eastAsia"/>
          <w:szCs w:val="24"/>
        </w:rPr>
        <w:t>清淡水關稅務司</w:t>
      </w:r>
      <w:proofErr w:type="gramEnd"/>
      <w:r>
        <w:rPr>
          <w:rFonts w:ascii="標楷體" w:eastAsia="標楷體" w:hAnsi="標楷體" w:hint="eastAsia"/>
          <w:szCs w:val="24"/>
        </w:rPr>
        <w:t>官邸：戶外草坪活動區（</w:t>
      </w:r>
      <w:r w:rsidRPr="001F647D">
        <w:rPr>
          <w:rFonts w:ascii="標楷體" w:eastAsia="標楷體" w:hAnsi="標楷體" w:hint="eastAsia"/>
          <w:color w:val="FF0000"/>
          <w:szCs w:val="24"/>
        </w:rPr>
        <w:t>100</w:t>
      </w:r>
      <w:r w:rsidR="00945037" w:rsidRPr="00945037">
        <w:rPr>
          <w:rFonts w:ascii="標楷體" w:eastAsia="標楷體" w:hAnsi="標楷體" w:hint="eastAsia"/>
          <w:szCs w:val="24"/>
        </w:rPr>
        <w:t>人）、官邸後方</w:t>
      </w:r>
      <w:proofErr w:type="gramStart"/>
      <w:r w:rsidR="00945037" w:rsidRPr="00945037">
        <w:rPr>
          <w:rFonts w:ascii="標楷體" w:eastAsia="標楷體" w:hAnsi="標楷體" w:hint="eastAsia"/>
          <w:szCs w:val="24"/>
        </w:rPr>
        <w:t>展演區</w:t>
      </w:r>
      <w:proofErr w:type="gramEnd"/>
      <w:r w:rsidR="00945037" w:rsidRPr="00945037">
        <w:rPr>
          <w:rFonts w:ascii="標楷體" w:eastAsia="標楷體" w:hAnsi="標楷體" w:hint="eastAsia"/>
          <w:szCs w:val="24"/>
        </w:rPr>
        <w:t>（</w:t>
      </w:r>
      <w:r w:rsidR="00945037" w:rsidRPr="00945037">
        <w:rPr>
          <w:rFonts w:ascii="標楷體" w:eastAsia="標楷體" w:hAnsi="標楷體" w:hint="eastAsia"/>
          <w:color w:val="FF0000"/>
          <w:szCs w:val="24"/>
        </w:rPr>
        <w:t>60</w:t>
      </w:r>
      <w:r w:rsidR="00945037" w:rsidRPr="00945037">
        <w:rPr>
          <w:rFonts w:ascii="標楷體" w:eastAsia="標楷體" w:hAnsi="標楷體" w:hint="eastAsia"/>
          <w:szCs w:val="24"/>
        </w:rPr>
        <w:t>人）。</w:t>
      </w:r>
    </w:p>
    <w:p w:rsidR="00945037" w:rsidRDefault="00945037" w:rsidP="00AB22B5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45037">
        <w:rPr>
          <w:rFonts w:ascii="標楷體" w:eastAsia="標楷體" w:hAnsi="標楷體" w:hint="eastAsia"/>
          <w:szCs w:val="24"/>
        </w:rPr>
        <w:t>本館開放、休館時間及場地使用時間如下：</w:t>
      </w:r>
    </w:p>
    <w:p w:rsidR="00945037" w:rsidRDefault="00945037" w:rsidP="00AB22B5">
      <w:pPr>
        <w:pStyle w:val="a8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45037">
        <w:rPr>
          <w:rFonts w:ascii="標楷體" w:eastAsia="標楷體" w:hAnsi="標楷體" w:hint="eastAsia"/>
          <w:szCs w:val="24"/>
        </w:rPr>
        <w:t>本館開放時間：</w:t>
      </w:r>
    </w:p>
    <w:p w:rsidR="00945037" w:rsidRDefault="009A2F6B" w:rsidP="001A1E7C">
      <w:pPr>
        <w:pStyle w:val="a8"/>
        <w:spacing w:line="400" w:lineRule="exact"/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淡水紅毛城</w:t>
      </w:r>
      <w:r w:rsidR="001F647D">
        <w:rPr>
          <w:rFonts w:ascii="標楷體" w:eastAsia="標楷體" w:hAnsi="標楷體" w:hint="eastAsia"/>
          <w:szCs w:val="24"/>
        </w:rPr>
        <w:t>、前清淡水關稅務司官邸、滬尾</w:t>
      </w:r>
      <w:r w:rsidR="001F647D" w:rsidRPr="001F647D">
        <w:rPr>
          <w:rFonts w:ascii="標楷體" w:eastAsia="標楷體" w:hAnsi="標楷體" w:hint="eastAsia"/>
          <w:color w:val="FF0000"/>
          <w:szCs w:val="24"/>
        </w:rPr>
        <w:t>礮</w:t>
      </w:r>
      <w:r w:rsidR="00945037" w:rsidRPr="00945037">
        <w:rPr>
          <w:rFonts w:ascii="標楷體" w:eastAsia="標楷體" w:hAnsi="標楷體" w:hint="eastAsia"/>
          <w:szCs w:val="24"/>
        </w:rPr>
        <w:t>台：週</w:t>
      </w:r>
      <w:r w:rsidR="00E23C0E">
        <w:rPr>
          <w:rFonts w:ascii="標楷體" w:eastAsia="標楷體" w:hAnsi="標楷體" w:hint="eastAsia"/>
          <w:szCs w:val="24"/>
        </w:rPr>
        <w:t>一</w:t>
      </w:r>
      <w:r w:rsidR="00864C58">
        <w:rPr>
          <w:rFonts w:ascii="標楷體" w:eastAsia="標楷體" w:hAnsi="標楷體" w:hint="eastAsia"/>
          <w:szCs w:val="24"/>
        </w:rPr>
        <w:t>至週五，上午</w:t>
      </w:r>
      <w:r w:rsidR="00864C58" w:rsidRPr="00864C58">
        <w:rPr>
          <w:rFonts w:ascii="標楷體" w:eastAsia="標楷體" w:hAnsi="標楷體" w:hint="eastAsia"/>
          <w:color w:val="FF0000"/>
          <w:szCs w:val="24"/>
        </w:rPr>
        <w:t>9</w:t>
      </w:r>
      <w:r w:rsidR="00864C58">
        <w:rPr>
          <w:rFonts w:ascii="標楷體" w:eastAsia="標楷體" w:hAnsi="標楷體" w:hint="eastAsia"/>
          <w:szCs w:val="24"/>
        </w:rPr>
        <w:t>時</w:t>
      </w:r>
      <w:r w:rsidR="00864C58" w:rsidRPr="00864C58">
        <w:rPr>
          <w:rFonts w:ascii="標楷體" w:eastAsia="標楷體" w:hAnsi="標楷體" w:hint="eastAsia"/>
          <w:color w:val="FF0000"/>
          <w:szCs w:val="24"/>
        </w:rPr>
        <w:t>30</w:t>
      </w:r>
      <w:r w:rsidR="00864C58">
        <w:rPr>
          <w:rFonts w:ascii="標楷體" w:eastAsia="標楷體" w:hAnsi="標楷體" w:hint="eastAsia"/>
          <w:szCs w:val="24"/>
        </w:rPr>
        <w:t>分至下午</w:t>
      </w:r>
      <w:r w:rsidR="00864C58" w:rsidRPr="00864C58">
        <w:rPr>
          <w:rFonts w:ascii="標楷體" w:eastAsia="標楷體" w:hAnsi="標楷體" w:hint="eastAsia"/>
          <w:color w:val="FF0000"/>
          <w:szCs w:val="24"/>
        </w:rPr>
        <w:t>5</w:t>
      </w:r>
      <w:r w:rsidR="00864C58">
        <w:rPr>
          <w:rFonts w:ascii="標楷體" w:eastAsia="標楷體" w:hAnsi="標楷體" w:hint="eastAsia"/>
          <w:szCs w:val="24"/>
        </w:rPr>
        <w:t>時；週六及週日上午</w:t>
      </w:r>
      <w:r w:rsidR="00864C58" w:rsidRPr="00864C58">
        <w:rPr>
          <w:rFonts w:ascii="標楷體" w:eastAsia="標楷體" w:hAnsi="標楷體" w:hint="eastAsia"/>
          <w:color w:val="FF0000"/>
          <w:szCs w:val="24"/>
        </w:rPr>
        <w:t>9</w:t>
      </w:r>
      <w:r w:rsidR="00864C58">
        <w:rPr>
          <w:rFonts w:ascii="標楷體" w:eastAsia="標楷體" w:hAnsi="標楷體" w:hint="eastAsia"/>
          <w:szCs w:val="24"/>
        </w:rPr>
        <w:t>時</w:t>
      </w:r>
      <w:r w:rsidR="00864C58" w:rsidRPr="00864C58">
        <w:rPr>
          <w:rFonts w:ascii="標楷體" w:eastAsia="標楷體" w:hAnsi="標楷體" w:hint="eastAsia"/>
          <w:color w:val="FF0000"/>
          <w:szCs w:val="24"/>
        </w:rPr>
        <w:t>30</w:t>
      </w:r>
      <w:r w:rsidR="00864C58">
        <w:rPr>
          <w:rFonts w:ascii="標楷體" w:eastAsia="標楷體" w:hAnsi="標楷體" w:hint="eastAsia"/>
          <w:szCs w:val="24"/>
        </w:rPr>
        <w:t>分至下午</w:t>
      </w:r>
      <w:r w:rsidR="00864C58" w:rsidRPr="00864C58">
        <w:rPr>
          <w:rFonts w:ascii="標楷體" w:eastAsia="標楷體" w:hAnsi="標楷體" w:hint="eastAsia"/>
          <w:color w:val="FF0000"/>
          <w:szCs w:val="24"/>
        </w:rPr>
        <w:t>6</w:t>
      </w:r>
      <w:r w:rsidR="00945037" w:rsidRPr="00945037">
        <w:rPr>
          <w:rFonts w:ascii="標楷體" w:eastAsia="標楷體" w:hAnsi="標楷體" w:hint="eastAsia"/>
          <w:szCs w:val="24"/>
        </w:rPr>
        <w:t>時。</w:t>
      </w:r>
    </w:p>
    <w:p w:rsidR="00945037" w:rsidRDefault="00864C58" w:rsidP="00AB22B5">
      <w:pPr>
        <w:pStyle w:val="a8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864C58">
        <w:rPr>
          <w:rFonts w:ascii="標楷體" w:eastAsia="標楷體" w:hAnsi="標楷體" w:hint="eastAsia"/>
          <w:szCs w:val="24"/>
        </w:rPr>
        <w:t>本館休館</w:t>
      </w:r>
      <w:proofErr w:type="gramEnd"/>
      <w:r w:rsidRPr="00864C58">
        <w:rPr>
          <w:rFonts w:ascii="標楷體" w:eastAsia="標楷體" w:hAnsi="標楷體" w:hint="eastAsia"/>
          <w:szCs w:val="24"/>
        </w:rPr>
        <w:t>時間：</w:t>
      </w:r>
    </w:p>
    <w:p w:rsidR="00864C58" w:rsidRPr="00864C58" w:rsidRDefault="00864C58" w:rsidP="00A32B35">
      <w:pPr>
        <w:pStyle w:val="a8"/>
        <w:numPr>
          <w:ilvl w:val="0"/>
          <w:numId w:val="6"/>
        </w:numPr>
        <w:spacing w:line="400" w:lineRule="exact"/>
        <w:ind w:leftChars="0" w:left="1134" w:hanging="316"/>
        <w:rPr>
          <w:rFonts w:ascii="標楷體" w:eastAsia="標楷體" w:hAnsi="標楷體"/>
          <w:szCs w:val="24"/>
        </w:rPr>
      </w:pPr>
      <w:r w:rsidRPr="00864C58">
        <w:rPr>
          <w:rFonts w:ascii="標楷體" w:eastAsia="標楷體" w:hAnsi="標楷體" w:hint="eastAsia"/>
          <w:szCs w:val="24"/>
        </w:rPr>
        <w:t>每月第一個星期一休館（如逢國定假日照常開放，休館日順延至星期二）。</w:t>
      </w:r>
    </w:p>
    <w:p w:rsidR="00864C58" w:rsidRPr="00864C58" w:rsidRDefault="00864C58" w:rsidP="00A32B35">
      <w:pPr>
        <w:pStyle w:val="a8"/>
        <w:numPr>
          <w:ilvl w:val="0"/>
          <w:numId w:val="6"/>
        </w:numPr>
        <w:spacing w:line="400" w:lineRule="exact"/>
        <w:ind w:leftChars="0" w:left="1134" w:hanging="316"/>
        <w:rPr>
          <w:rFonts w:ascii="標楷體" w:eastAsia="標楷體" w:hAnsi="標楷體"/>
          <w:szCs w:val="24"/>
        </w:rPr>
      </w:pPr>
      <w:r w:rsidRPr="00864C58">
        <w:rPr>
          <w:rFonts w:ascii="標楷體" w:eastAsia="標楷體" w:hAnsi="標楷體" w:hint="eastAsia"/>
          <w:szCs w:val="24"/>
        </w:rPr>
        <w:t>農曆除夕及年初</w:t>
      </w:r>
      <w:proofErr w:type="gramStart"/>
      <w:r w:rsidRPr="00864C58">
        <w:rPr>
          <w:rFonts w:ascii="標楷體" w:eastAsia="標楷體" w:hAnsi="標楷體" w:hint="eastAsia"/>
          <w:szCs w:val="24"/>
        </w:rPr>
        <w:t>一</w:t>
      </w:r>
      <w:proofErr w:type="gramEnd"/>
      <w:r w:rsidRPr="00864C58">
        <w:rPr>
          <w:rFonts w:ascii="標楷體" w:eastAsia="標楷體" w:hAnsi="標楷體" w:hint="eastAsia"/>
          <w:szCs w:val="24"/>
        </w:rPr>
        <w:t>休館。</w:t>
      </w:r>
    </w:p>
    <w:p w:rsidR="00864C58" w:rsidRPr="00864C58" w:rsidRDefault="00864C58" w:rsidP="00A32B35">
      <w:pPr>
        <w:pStyle w:val="a8"/>
        <w:numPr>
          <w:ilvl w:val="0"/>
          <w:numId w:val="6"/>
        </w:numPr>
        <w:spacing w:line="400" w:lineRule="exact"/>
        <w:ind w:leftChars="0" w:left="1134" w:hanging="316"/>
        <w:rPr>
          <w:rFonts w:ascii="標楷體" w:eastAsia="標楷體" w:hAnsi="標楷體"/>
          <w:szCs w:val="24"/>
        </w:rPr>
      </w:pPr>
      <w:r w:rsidRPr="00864C58">
        <w:rPr>
          <w:rFonts w:ascii="標楷體" w:eastAsia="標楷體" w:hAnsi="標楷體" w:hint="eastAsia"/>
          <w:szCs w:val="24"/>
        </w:rPr>
        <w:t>選舉日休館。</w:t>
      </w:r>
    </w:p>
    <w:p w:rsidR="00864C58" w:rsidRPr="00864C58" w:rsidRDefault="00864C58" w:rsidP="00A32B35">
      <w:pPr>
        <w:pStyle w:val="a8"/>
        <w:numPr>
          <w:ilvl w:val="0"/>
          <w:numId w:val="6"/>
        </w:numPr>
        <w:spacing w:line="400" w:lineRule="exact"/>
        <w:ind w:leftChars="0" w:left="1134" w:hanging="316"/>
        <w:rPr>
          <w:rFonts w:ascii="標楷體" w:eastAsia="標楷體" w:hAnsi="標楷體"/>
          <w:szCs w:val="24"/>
        </w:rPr>
      </w:pPr>
      <w:r w:rsidRPr="00864C58">
        <w:rPr>
          <w:rFonts w:ascii="標楷體" w:eastAsia="標楷體" w:hAnsi="標楷體" w:hint="eastAsia"/>
          <w:szCs w:val="24"/>
        </w:rPr>
        <w:t>政府公告之天然災害停止上班日。</w:t>
      </w:r>
    </w:p>
    <w:p w:rsidR="00864C58" w:rsidRDefault="00864C58" w:rsidP="00A32B35">
      <w:pPr>
        <w:pStyle w:val="a8"/>
        <w:numPr>
          <w:ilvl w:val="0"/>
          <w:numId w:val="6"/>
        </w:numPr>
        <w:spacing w:line="400" w:lineRule="exact"/>
        <w:ind w:leftChars="0" w:left="1134" w:hanging="316"/>
        <w:rPr>
          <w:rFonts w:ascii="標楷體" w:eastAsia="標楷體" w:hAnsi="標楷體"/>
          <w:szCs w:val="24"/>
        </w:rPr>
      </w:pPr>
      <w:r w:rsidRPr="00864C58">
        <w:rPr>
          <w:rFonts w:ascii="標楷體" w:eastAsia="標楷體" w:hAnsi="標楷體" w:hint="eastAsia"/>
          <w:szCs w:val="24"/>
        </w:rPr>
        <w:t>本館另行公告之必要</w:t>
      </w:r>
      <w:proofErr w:type="gramStart"/>
      <w:r w:rsidRPr="00864C58">
        <w:rPr>
          <w:rFonts w:ascii="標楷體" w:eastAsia="標楷體" w:hAnsi="標楷體" w:hint="eastAsia"/>
          <w:szCs w:val="24"/>
        </w:rPr>
        <w:t>休館日</w:t>
      </w:r>
      <w:proofErr w:type="gramEnd"/>
      <w:r w:rsidRPr="00864C58">
        <w:rPr>
          <w:rFonts w:ascii="標楷體" w:eastAsia="標楷體" w:hAnsi="標楷體" w:hint="eastAsia"/>
          <w:szCs w:val="24"/>
        </w:rPr>
        <w:t>。</w:t>
      </w:r>
    </w:p>
    <w:p w:rsidR="00864C58" w:rsidRDefault="00AB22B5" w:rsidP="00A32B35">
      <w:pPr>
        <w:pStyle w:val="a8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以下場地使用時間分為</w:t>
      </w:r>
      <w:r w:rsidRPr="00AB22B5">
        <w:rPr>
          <w:rFonts w:ascii="標楷體" w:eastAsia="標楷體" w:hAnsi="標楷體" w:hint="eastAsia"/>
          <w:color w:val="FF0000"/>
          <w:szCs w:val="24"/>
        </w:rPr>
        <w:t>9</w:t>
      </w:r>
      <w:r w:rsidRPr="00AB22B5">
        <w:rPr>
          <w:rFonts w:ascii="標楷體" w:eastAsia="標楷體" w:hAnsi="標楷體" w:hint="eastAsia"/>
          <w:szCs w:val="24"/>
        </w:rPr>
        <w:t>時至</w:t>
      </w:r>
      <w:r w:rsidRPr="00AB22B5">
        <w:rPr>
          <w:rFonts w:ascii="標楷體" w:eastAsia="標楷體" w:hAnsi="標楷體" w:hint="eastAsia"/>
          <w:color w:val="FF0000"/>
          <w:szCs w:val="24"/>
        </w:rPr>
        <w:t>12</w:t>
      </w:r>
      <w:r>
        <w:rPr>
          <w:rFonts w:ascii="標楷體" w:eastAsia="標楷體" w:hAnsi="標楷體" w:hint="eastAsia"/>
          <w:szCs w:val="24"/>
        </w:rPr>
        <w:t>時</w:t>
      </w:r>
      <w:r w:rsidRPr="00AB22B5">
        <w:rPr>
          <w:rFonts w:ascii="標楷體" w:eastAsia="標楷體" w:hAnsi="標楷體" w:hint="eastAsia"/>
          <w:color w:val="FF0000"/>
          <w:szCs w:val="24"/>
        </w:rPr>
        <w:t>30</w:t>
      </w:r>
      <w:r>
        <w:rPr>
          <w:rFonts w:ascii="標楷體" w:eastAsia="標楷體" w:hAnsi="標楷體" w:hint="eastAsia"/>
          <w:szCs w:val="24"/>
        </w:rPr>
        <w:t>分、</w:t>
      </w:r>
      <w:r w:rsidRPr="00AB22B5">
        <w:rPr>
          <w:rFonts w:ascii="標楷體" w:eastAsia="標楷體" w:hAnsi="標楷體" w:hint="eastAsia"/>
          <w:color w:val="FF0000"/>
          <w:szCs w:val="24"/>
        </w:rPr>
        <w:t>14</w:t>
      </w:r>
      <w:r>
        <w:rPr>
          <w:rFonts w:ascii="標楷體" w:eastAsia="標楷體" w:hAnsi="標楷體" w:hint="eastAsia"/>
          <w:szCs w:val="24"/>
        </w:rPr>
        <w:t>時至</w:t>
      </w:r>
      <w:r w:rsidRPr="00AB22B5">
        <w:rPr>
          <w:rFonts w:ascii="標楷體" w:eastAsia="標楷體" w:hAnsi="標楷體" w:hint="eastAsia"/>
          <w:color w:val="FF0000"/>
          <w:szCs w:val="24"/>
        </w:rPr>
        <w:t>17</w:t>
      </w:r>
      <w:r>
        <w:rPr>
          <w:rFonts w:ascii="標楷體" w:eastAsia="標楷體" w:hAnsi="標楷體" w:hint="eastAsia"/>
          <w:szCs w:val="24"/>
        </w:rPr>
        <w:t>時、</w:t>
      </w:r>
      <w:r w:rsidRPr="00AB22B5">
        <w:rPr>
          <w:rFonts w:ascii="標楷體" w:eastAsia="標楷體" w:hAnsi="標楷體" w:hint="eastAsia"/>
          <w:color w:val="FF0000"/>
          <w:szCs w:val="24"/>
        </w:rPr>
        <w:t>18</w:t>
      </w:r>
      <w:r w:rsidRPr="00AB22B5">
        <w:rPr>
          <w:rFonts w:ascii="標楷體" w:eastAsia="標楷體" w:hAnsi="標楷體" w:hint="eastAsia"/>
          <w:szCs w:val="24"/>
        </w:rPr>
        <w:t>時</w:t>
      </w:r>
      <w:r w:rsidRPr="00AB22B5">
        <w:rPr>
          <w:rFonts w:ascii="標楷體" w:eastAsia="標楷體" w:hAnsi="標楷體" w:hint="eastAsia"/>
          <w:color w:val="FF0000"/>
          <w:szCs w:val="24"/>
        </w:rPr>
        <w:t>30</w:t>
      </w:r>
      <w:r>
        <w:rPr>
          <w:rFonts w:ascii="標楷體" w:eastAsia="標楷體" w:hAnsi="標楷體" w:hint="eastAsia"/>
          <w:szCs w:val="24"/>
        </w:rPr>
        <w:t>分至</w:t>
      </w:r>
      <w:r w:rsidRPr="00AB22B5">
        <w:rPr>
          <w:rFonts w:ascii="標楷體" w:eastAsia="標楷體" w:hAnsi="標楷體" w:hint="eastAsia"/>
          <w:color w:val="FF0000"/>
          <w:szCs w:val="24"/>
        </w:rPr>
        <w:t>21</w:t>
      </w:r>
      <w:r>
        <w:rPr>
          <w:rFonts w:ascii="標楷體" w:eastAsia="標楷體" w:hAnsi="標楷體" w:hint="eastAsia"/>
          <w:szCs w:val="24"/>
        </w:rPr>
        <w:t>時</w:t>
      </w:r>
      <w:r w:rsidRPr="00AB22B5">
        <w:rPr>
          <w:rFonts w:ascii="標楷體" w:eastAsia="標楷體" w:hAnsi="標楷體" w:hint="eastAsia"/>
          <w:color w:val="FF0000"/>
          <w:szCs w:val="24"/>
        </w:rPr>
        <w:t>30</w:t>
      </w:r>
      <w:r w:rsidRPr="00AB22B5">
        <w:rPr>
          <w:rFonts w:ascii="標楷體" w:eastAsia="標楷體" w:hAnsi="標楷體" w:hint="eastAsia"/>
          <w:szCs w:val="24"/>
        </w:rPr>
        <w:t>分。</w:t>
      </w:r>
    </w:p>
    <w:p w:rsidR="00AB22B5" w:rsidRPr="00AB22B5" w:rsidRDefault="00AB22B5" w:rsidP="00A32B35">
      <w:pPr>
        <w:pStyle w:val="a8"/>
        <w:numPr>
          <w:ilvl w:val="0"/>
          <w:numId w:val="7"/>
        </w:numPr>
        <w:spacing w:line="400" w:lineRule="exact"/>
        <w:ind w:leftChars="0" w:left="1134" w:hanging="316"/>
        <w:rPr>
          <w:rFonts w:ascii="標楷體" w:eastAsia="標楷體" w:hAnsi="標楷體"/>
          <w:szCs w:val="24"/>
        </w:rPr>
      </w:pPr>
      <w:r w:rsidRPr="00AB22B5">
        <w:rPr>
          <w:rFonts w:ascii="標楷體" w:eastAsia="標楷體" w:hAnsi="標楷體" w:hint="eastAsia"/>
          <w:szCs w:val="24"/>
        </w:rPr>
        <w:t>紅毛城：主樓北側卵石區、主樓旁大草坪、辦公室旁草坪。</w:t>
      </w:r>
    </w:p>
    <w:p w:rsidR="00AB22B5" w:rsidRPr="00AB22B5" w:rsidRDefault="00AB22B5" w:rsidP="00A32B35">
      <w:pPr>
        <w:pStyle w:val="a8"/>
        <w:numPr>
          <w:ilvl w:val="0"/>
          <w:numId w:val="7"/>
        </w:numPr>
        <w:spacing w:line="400" w:lineRule="exact"/>
        <w:ind w:leftChars="0" w:left="1134" w:hanging="3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滬尾</w:t>
      </w:r>
      <w:r w:rsidRPr="00AB22B5">
        <w:rPr>
          <w:rFonts w:ascii="標楷體" w:eastAsia="標楷體" w:hAnsi="標楷體" w:hint="eastAsia"/>
          <w:color w:val="FF0000"/>
          <w:szCs w:val="24"/>
        </w:rPr>
        <w:t>礮</w:t>
      </w:r>
      <w:r w:rsidRPr="00AB22B5">
        <w:rPr>
          <w:rFonts w:ascii="標楷體" w:eastAsia="標楷體" w:hAnsi="標楷體" w:hint="eastAsia"/>
          <w:szCs w:val="24"/>
        </w:rPr>
        <w:t>台：中央廣場（不含遺址空間）、北側</w:t>
      </w:r>
      <w:proofErr w:type="gramStart"/>
      <w:r w:rsidRPr="00AB22B5">
        <w:rPr>
          <w:rFonts w:ascii="標楷體" w:eastAsia="標楷體" w:hAnsi="標楷體" w:hint="eastAsia"/>
          <w:szCs w:val="24"/>
        </w:rPr>
        <w:t>特</w:t>
      </w:r>
      <w:proofErr w:type="gramEnd"/>
      <w:r w:rsidRPr="00AB22B5">
        <w:rPr>
          <w:rFonts w:ascii="標楷體" w:eastAsia="標楷體" w:hAnsi="標楷體" w:hint="eastAsia"/>
          <w:szCs w:val="24"/>
        </w:rPr>
        <w:t>展室、西側</w:t>
      </w:r>
      <w:proofErr w:type="gramStart"/>
      <w:r w:rsidRPr="00AB22B5">
        <w:rPr>
          <w:rFonts w:ascii="標楷體" w:eastAsia="標楷體" w:hAnsi="標楷體" w:hint="eastAsia"/>
          <w:szCs w:val="24"/>
        </w:rPr>
        <w:t>特</w:t>
      </w:r>
      <w:proofErr w:type="gramEnd"/>
      <w:r w:rsidRPr="00AB22B5">
        <w:rPr>
          <w:rFonts w:ascii="標楷體" w:eastAsia="標楷體" w:hAnsi="標楷體" w:hint="eastAsia"/>
          <w:szCs w:val="24"/>
        </w:rPr>
        <w:t>展室礮臺壕溝。</w:t>
      </w:r>
    </w:p>
    <w:p w:rsidR="00AB22B5" w:rsidRDefault="00AB22B5" w:rsidP="00A32B35">
      <w:pPr>
        <w:pStyle w:val="a8"/>
        <w:numPr>
          <w:ilvl w:val="0"/>
          <w:numId w:val="7"/>
        </w:numPr>
        <w:spacing w:line="400" w:lineRule="exact"/>
        <w:ind w:leftChars="0" w:left="1134" w:hanging="316"/>
        <w:rPr>
          <w:rFonts w:ascii="標楷體" w:eastAsia="標楷體" w:hAnsi="標楷體"/>
          <w:szCs w:val="24"/>
        </w:rPr>
      </w:pPr>
      <w:r w:rsidRPr="00AB22B5">
        <w:rPr>
          <w:rFonts w:ascii="標楷體" w:eastAsia="標楷體" w:hAnsi="標楷體" w:hint="eastAsia"/>
          <w:szCs w:val="24"/>
        </w:rPr>
        <w:t>前</w:t>
      </w:r>
      <w:proofErr w:type="gramStart"/>
      <w:r w:rsidRPr="00AB22B5">
        <w:rPr>
          <w:rFonts w:ascii="標楷體" w:eastAsia="標楷體" w:hAnsi="標楷體" w:hint="eastAsia"/>
          <w:szCs w:val="24"/>
        </w:rPr>
        <w:t>清淡水關稅務司</w:t>
      </w:r>
      <w:proofErr w:type="gramEnd"/>
      <w:r w:rsidRPr="00AB22B5">
        <w:rPr>
          <w:rFonts w:ascii="標楷體" w:eastAsia="標楷體" w:hAnsi="標楷體" w:hint="eastAsia"/>
          <w:szCs w:val="24"/>
        </w:rPr>
        <w:t>官邸：戶外草坪活動區、官邸後方</w:t>
      </w:r>
      <w:proofErr w:type="gramStart"/>
      <w:r w:rsidRPr="00AB22B5">
        <w:rPr>
          <w:rFonts w:ascii="標楷體" w:eastAsia="標楷體" w:hAnsi="標楷體" w:hint="eastAsia"/>
          <w:szCs w:val="24"/>
        </w:rPr>
        <w:t>展演區之</w:t>
      </w:r>
      <w:proofErr w:type="gramEnd"/>
      <w:r w:rsidRPr="00AB22B5">
        <w:rPr>
          <w:rFonts w:ascii="標楷體" w:eastAsia="標楷體" w:hAnsi="標楷體" w:hint="eastAsia"/>
          <w:szCs w:val="24"/>
        </w:rPr>
        <w:t>使用時間。</w:t>
      </w:r>
    </w:p>
    <w:p w:rsidR="008A7BBB" w:rsidRDefault="008A7BBB" w:rsidP="00A32B35">
      <w:pPr>
        <w:pStyle w:val="a8"/>
        <w:numPr>
          <w:ilvl w:val="0"/>
          <w:numId w:val="1"/>
        </w:numPr>
        <w:spacing w:line="400" w:lineRule="exact"/>
        <w:ind w:leftChars="0" w:rightChars="-82" w:right="-1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申請使用本館各場地者，應於使用前</w:t>
      </w:r>
      <w:r w:rsidRPr="008A7BBB">
        <w:rPr>
          <w:rFonts w:ascii="標楷體" w:eastAsia="標楷體" w:hAnsi="標楷體" w:hint="eastAsia"/>
          <w:color w:val="FF0000"/>
          <w:szCs w:val="24"/>
        </w:rPr>
        <w:t>10</w:t>
      </w:r>
      <w:r w:rsidRPr="008A7BBB">
        <w:rPr>
          <w:rFonts w:ascii="標楷體" w:eastAsia="標楷體" w:hAnsi="標楷體" w:hint="eastAsia"/>
          <w:szCs w:val="24"/>
        </w:rPr>
        <w:t>日填具申請表，送請本館審查</w:t>
      </w:r>
      <w:r>
        <w:rPr>
          <w:rFonts w:ascii="標楷體" w:eastAsia="標楷體" w:hAnsi="標楷體" w:hint="eastAsia"/>
          <w:szCs w:val="24"/>
        </w:rPr>
        <w:t>經本館同意者，應於使用前</w:t>
      </w:r>
      <w:r w:rsidRPr="008A7BBB">
        <w:rPr>
          <w:rFonts w:ascii="標楷體" w:eastAsia="標楷體" w:hAnsi="標楷體" w:hint="eastAsia"/>
          <w:color w:val="FF0000"/>
          <w:szCs w:val="24"/>
        </w:rPr>
        <w:t>3</w:t>
      </w:r>
      <w:r w:rsidRPr="008A7BBB">
        <w:rPr>
          <w:rFonts w:ascii="標楷體" w:eastAsia="標楷體" w:hAnsi="標楷體" w:hint="eastAsia"/>
          <w:szCs w:val="24"/>
        </w:rPr>
        <w:t>日，依新北市立淡水古蹟博物館場地使用收費標準之規定，繳納使用費及保證金，逾期以棄權論。</w:t>
      </w:r>
    </w:p>
    <w:p w:rsidR="00945037" w:rsidRDefault="008A7BBB" w:rsidP="00A32B35">
      <w:pPr>
        <w:pStyle w:val="a8"/>
        <w:spacing w:line="400" w:lineRule="exact"/>
        <w:ind w:leftChars="0" w:rightChars="-82" w:right="-1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大型活動依前項規定申請本館各場地者，應於使用前</w:t>
      </w:r>
      <w:r w:rsidRPr="008A7BBB">
        <w:rPr>
          <w:rFonts w:ascii="標楷體" w:eastAsia="標楷體" w:hAnsi="標楷體" w:hint="eastAsia"/>
          <w:color w:val="FF0000"/>
          <w:szCs w:val="24"/>
        </w:rPr>
        <w:t>30</w:t>
      </w:r>
      <w:r w:rsidRPr="008A7BBB">
        <w:rPr>
          <w:rFonts w:ascii="標楷體" w:eastAsia="標楷體" w:hAnsi="標楷體" w:hint="eastAsia"/>
          <w:szCs w:val="24"/>
        </w:rPr>
        <w:t>日填具申請表送本館審查，其餘依前項規定辦理，並應檢附活動計畫書及工作人員名冊，必要</w:t>
      </w:r>
      <w:r w:rsidRPr="008A7BBB">
        <w:rPr>
          <w:rFonts w:ascii="標楷體" w:eastAsia="標楷體" w:hAnsi="標楷體" w:hint="eastAsia"/>
          <w:szCs w:val="24"/>
        </w:rPr>
        <w:lastRenderedPageBreak/>
        <w:t>時，應檢附場地安全維護及清潔計畫書。拍攝錄製電影廣告等應檢附腳本。</w:t>
      </w:r>
    </w:p>
    <w:p w:rsidR="008A7BBB" w:rsidRDefault="008A7BBB" w:rsidP="00A32B35">
      <w:pPr>
        <w:pStyle w:val="a8"/>
        <w:numPr>
          <w:ilvl w:val="0"/>
          <w:numId w:val="1"/>
        </w:numPr>
        <w:spacing w:line="400" w:lineRule="exact"/>
        <w:ind w:leftChars="0" w:rightChars="-82" w:right="-197"/>
        <w:rPr>
          <w:rFonts w:ascii="標楷體" w:eastAsia="標楷體" w:hAnsi="標楷體"/>
          <w:szCs w:val="24"/>
        </w:rPr>
      </w:pPr>
      <w:r w:rsidRPr="008A7BBB">
        <w:rPr>
          <w:rFonts w:ascii="標楷體" w:eastAsia="標楷體" w:hAnsi="標楷體" w:hint="eastAsia"/>
          <w:szCs w:val="24"/>
        </w:rPr>
        <w:t>申請人自行放棄使用場地者，除無息退還保證金外，已繳納之場地使用費，不予退還。如遇不可抗力之事由致不能使用場地時，申請人得申請延期或由</w:t>
      </w:r>
      <w:proofErr w:type="gramStart"/>
      <w:r w:rsidRPr="008A7BBB">
        <w:rPr>
          <w:rFonts w:ascii="標楷體" w:eastAsia="標楷體" w:hAnsi="標楷體" w:hint="eastAsia"/>
          <w:szCs w:val="24"/>
        </w:rPr>
        <w:t>本館無息</w:t>
      </w:r>
      <w:proofErr w:type="gramEnd"/>
      <w:r w:rsidRPr="008A7BBB">
        <w:rPr>
          <w:rFonts w:ascii="標楷體" w:eastAsia="標楷體" w:hAnsi="標楷體" w:hint="eastAsia"/>
          <w:szCs w:val="24"/>
        </w:rPr>
        <w:t>退還場地使用費及保證金。本館因辦理活動或臨時需要，必須使用場地時，得通知申請人延期使用，或通知其停止使用，並無息退還場地使用費及保證金。</w:t>
      </w:r>
    </w:p>
    <w:p w:rsidR="008A7BBB" w:rsidRDefault="008A7BBB" w:rsidP="00A32B35">
      <w:pPr>
        <w:pStyle w:val="a8"/>
        <w:numPr>
          <w:ilvl w:val="0"/>
          <w:numId w:val="1"/>
        </w:numPr>
        <w:spacing w:line="400" w:lineRule="exact"/>
        <w:ind w:leftChars="0" w:rightChars="-82" w:right="-197"/>
        <w:rPr>
          <w:rFonts w:ascii="標楷體" w:eastAsia="標楷體" w:hAnsi="標楷體"/>
          <w:szCs w:val="24"/>
        </w:rPr>
      </w:pPr>
      <w:r w:rsidRPr="008A7BBB">
        <w:rPr>
          <w:rFonts w:ascii="標楷體" w:eastAsia="標楷體" w:hAnsi="標楷體" w:hint="eastAsia"/>
          <w:szCs w:val="24"/>
        </w:rPr>
        <w:t>有下列情形之</w:t>
      </w:r>
      <w:proofErr w:type="gramStart"/>
      <w:r w:rsidRPr="008A7BBB">
        <w:rPr>
          <w:rFonts w:ascii="標楷體" w:eastAsia="標楷體" w:hAnsi="標楷體" w:hint="eastAsia"/>
          <w:szCs w:val="24"/>
        </w:rPr>
        <w:t>一</w:t>
      </w:r>
      <w:proofErr w:type="gramEnd"/>
      <w:r w:rsidRPr="008A7BBB">
        <w:rPr>
          <w:rFonts w:ascii="標楷體" w:eastAsia="標楷體" w:hAnsi="標楷體" w:hint="eastAsia"/>
          <w:szCs w:val="24"/>
        </w:rPr>
        <w:t>者，本館不予核准使用；已核准者，得停止其使用，已繳納之場地使用費及保證金，均不予退還：</w:t>
      </w:r>
    </w:p>
    <w:p w:rsidR="008A7BBB" w:rsidRPr="008A7BBB" w:rsidRDefault="008A7BBB" w:rsidP="00A32B35">
      <w:pPr>
        <w:pStyle w:val="a8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8A7BBB">
        <w:rPr>
          <w:rFonts w:ascii="標楷體" w:eastAsia="標楷體" w:hAnsi="標楷體" w:hint="eastAsia"/>
          <w:szCs w:val="24"/>
        </w:rPr>
        <w:t>違反法律規定。</w:t>
      </w:r>
    </w:p>
    <w:p w:rsidR="008A7BBB" w:rsidRPr="008A7BBB" w:rsidRDefault="008A7BBB" w:rsidP="00A32B35">
      <w:pPr>
        <w:pStyle w:val="a8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8A7BBB">
        <w:rPr>
          <w:rFonts w:ascii="標楷體" w:eastAsia="標楷體" w:hAnsi="標楷體" w:hint="eastAsia"/>
          <w:szCs w:val="24"/>
        </w:rPr>
        <w:t>有礙社會善良風。</w:t>
      </w:r>
    </w:p>
    <w:p w:rsidR="008A7BBB" w:rsidRDefault="008A7BBB" w:rsidP="00A32B35">
      <w:pPr>
        <w:pStyle w:val="a8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8A7BBB">
        <w:rPr>
          <w:rFonts w:ascii="標楷體" w:eastAsia="標楷體" w:hAnsi="標楷體" w:hint="eastAsia"/>
          <w:szCs w:val="24"/>
        </w:rPr>
        <w:t>有污染場地或損害建築、設備或其他公共安全之虞。</w:t>
      </w:r>
    </w:p>
    <w:p w:rsidR="008A7BBB" w:rsidRPr="008A7BBB" w:rsidRDefault="008A7BBB" w:rsidP="00A32B35">
      <w:pPr>
        <w:pStyle w:val="a8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8A7BBB">
        <w:rPr>
          <w:rFonts w:ascii="標楷體" w:eastAsia="標楷體" w:hAnsi="標楷體" w:hint="eastAsia"/>
          <w:szCs w:val="24"/>
        </w:rPr>
        <w:t>活動內容與申請使用項目不符，或將場地轉讓他人使用。</w:t>
      </w:r>
    </w:p>
    <w:p w:rsidR="008A7BBB" w:rsidRPr="008A7BBB" w:rsidRDefault="008A7BBB" w:rsidP="00A32B35">
      <w:pPr>
        <w:pStyle w:val="a8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8A7BBB">
        <w:rPr>
          <w:rFonts w:ascii="標楷體" w:eastAsia="標楷體" w:hAnsi="標楷體" w:hint="eastAsia"/>
          <w:szCs w:val="24"/>
        </w:rPr>
        <w:t>曾經使用本館場地，違反規定情節重大。</w:t>
      </w:r>
    </w:p>
    <w:p w:rsidR="008A7BBB" w:rsidRDefault="008A7BBB" w:rsidP="00A32B35">
      <w:pPr>
        <w:pStyle w:val="a8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8A7BBB">
        <w:rPr>
          <w:rFonts w:ascii="標楷體" w:eastAsia="標楷體" w:hAnsi="標楷體" w:hint="eastAsia"/>
          <w:szCs w:val="24"/>
        </w:rPr>
        <w:t>其他經本館認為不宜使用。</w:t>
      </w:r>
    </w:p>
    <w:p w:rsidR="008A7BBB" w:rsidRDefault="008A3342" w:rsidP="00A32B35">
      <w:pPr>
        <w:pStyle w:val="a8"/>
        <w:numPr>
          <w:ilvl w:val="0"/>
          <w:numId w:val="1"/>
        </w:numPr>
        <w:spacing w:line="400" w:lineRule="exact"/>
        <w:ind w:leftChars="0" w:rightChars="-82" w:right="-197"/>
        <w:rPr>
          <w:rFonts w:ascii="標楷體" w:eastAsia="標楷體" w:hAnsi="標楷體"/>
          <w:szCs w:val="24"/>
        </w:rPr>
      </w:pPr>
      <w:r w:rsidRPr="008A3342">
        <w:rPr>
          <w:rFonts w:ascii="標楷體" w:eastAsia="標楷體" w:hAnsi="標楷體" w:hint="eastAsia"/>
          <w:szCs w:val="24"/>
        </w:rPr>
        <w:t>場地使用完畢，由本館會同使用人檢視場地設施及相關器材，如有毀損，使用人應負損害賠償責任，本館並得自保證金扣抵之；如無損害，經使用人填妥退還保證金申請書後，保證金無息退還。</w:t>
      </w:r>
    </w:p>
    <w:p w:rsidR="008A3342" w:rsidRDefault="008A3342" w:rsidP="00A32B35">
      <w:pPr>
        <w:pStyle w:val="a8"/>
        <w:numPr>
          <w:ilvl w:val="0"/>
          <w:numId w:val="1"/>
        </w:numPr>
        <w:spacing w:line="400" w:lineRule="exact"/>
        <w:ind w:leftChars="0" w:rightChars="-82" w:right="-197"/>
        <w:rPr>
          <w:rFonts w:ascii="標楷體" w:eastAsia="標楷體" w:hAnsi="標楷體"/>
          <w:szCs w:val="24"/>
        </w:rPr>
      </w:pPr>
      <w:r w:rsidRPr="008A3342">
        <w:rPr>
          <w:rFonts w:ascii="標楷體" w:eastAsia="標楷體" w:hAnsi="標楷體" w:hint="eastAsia"/>
          <w:szCs w:val="24"/>
        </w:rPr>
        <w:t>使用人非經本館同意，不得逾越申請使用時間、使用本館各項設備及進行場地佈置；違反者，由使用人負損害賠償責任，並得自保證金扣抵之。</w:t>
      </w:r>
    </w:p>
    <w:p w:rsidR="008A3342" w:rsidRDefault="008A3342" w:rsidP="00A32B35">
      <w:pPr>
        <w:pStyle w:val="a8"/>
        <w:numPr>
          <w:ilvl w:val="0"/>
          <w:numId w:val="1"/>
        </w:numPr>
        <w:spacing w:line="400" w:lineRule="exact"/>
        <w:ind w:leftChars="0" w:rightChars="-82" w:right="-197"/>
        <w:rPr>
          <w:rFonts w:ascii="標楷體" w:eastAsia="標楷體" w:hAnsi="標楷體"/>
          <w:szCs w:val="24"/>
        </w:rPr>
      </w:pPr>
      <w:r w:rsidRPr="008A3342">
        <w:rPr>
          <w:rFonts w:ascii="標楷體" w:eastAsia="標楷體" w:hAnsi="標楷體" w:hint="eastAsia"/>
          <w:szCs w:val="24"/>
        </w:rPr>
        <w:t>使用本館場地時，關於設備安裝、彩排預演、錄音錄影、舞台作業、海報票</w:t>
      </w:r>
      <w:proofErr w:type="gramStart"/>
      <w:r w:rsidRPr="008A3342">
        <w:rPr>
          <w:rFonts w:ascii="標楷體" w:eastAsia="標楷體" w:hAnsi="標楷體" w:hint="eastAsia"/>
          <w:szCs w:val="24"/>
        </w:rPr>
        <w:t>務</w:t>
      </w:r>
      <w:proofErr w:type="gramEnd"/>
      <w:r w:rsidRPr="008A3342">
        <w:rPr>
          <w:rFonts w:ascii="標楷體" w:eastAsia="標楷體" w:hAnsi="標楷體" w:hint="eastAsia"/>
          <w:szCs w:val="24"/>
        </w:rPr>
        <w:t>、媒體文宣及物品展售等事項，</w:t>
      </w:r>
      <w:proofErr w:type="gramStart"/>
      <w:r w:rsidRPr="008A3342">
        <w:rPr>
          <w:rFonts w:ascii="標楷體" w:eastAsia="標楷體" w:hAnsi="標楷體" w:hint="eastAsia"/>
          <w:szCs w:val="24"/>
        </w:rPr>
        <w:t>均應先</w:t>
      </w:r>
      <w:proofErr w:type="gramEnd"/>
      <w:r w:rsidRPr="008A3342">
        <w:rPr>
          <w:rFonts w:ascii="標楷體" w:eastAsia="標楷體" w:hAnsi="標楷體" w:hint="eastAsia"/>
          <w:szCs w:val="24"/>
        </w:rPr>
        <w:t>經本館同意，並遵守本館所訂之相關規範。</w:t>
      </w:r>
    </w:p>
    <w:p w:rsidR="008A3342" w:rsidRPr="008A7BBB" w:rsidRDefault="008A3342" w:rsidP="00A32B35">
      <w:pPr>
        <w:pStyle w:val="a8"/>
        <w:numPr>
          <w:ilvl w:val="0"/>
          <w:numId w:val="1"/>
        </w:numPr>
        <w:spacing w:line="400" w:lineRule="exact"/>
        <w:ind w:leftChars="0" w:rightChars="-82" w:right="-197"/>
        <w:rPr>
          <w:rFonts w:ascii="標楷體" w:eastAsia="標楷體" w:hAnsi="標楷體"/>
          <w:szCs w:val="24"/>
        </w:rPr>
      </w:pPr>
      <w:r w:rsidRPr="008A3342">
        <w:rPr>
          <w:rFonts w:ascii="標楷體" w:eastAsia="標楷體" w:hAnsi="標楷體" w:hint="eastAsia"/>
          <w:szCs w:val="24"/>
        </w:rPr>
        <w:t>場地使用期間之工作人員識別、安全維護、傷患救急及公共秩序，應由使用人自行負責；使用人並應要求參加活動人員衣著整齊及遵守本館有關規定。</w:t>
      </w:r>
    </w:p>
    <w:sectPr w:rsidR="008A3342" w:rsidRPr="008A7B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76E" w:rsidRDefault="00F5676E" w:rsidP="00F95F41">
      <w:r>
        <w:separator/>
      </w:r>
    </w:p>
  </w:endnote>
  <w:endnote w:type="continuationSeparator" w:id="0">
    <w:p w:rsidR="00F5676E" w:rsidRDefault="00F5676E" w:rsidP="00F9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41" w:rsidRPr="00B75C2B" w:rsidRDefault="00F95F41" w:rsidP="00F95F41">
    <w:pPr>
      <w:rPr>
        <w:rFonts w:ascii="標楷體" w:eastAsia="標楷體" w:hAnsi="標楷體"/>
        <w:sz w:val="20"/>
        <w:szCs w:val="20"/>
      </w:rPr>
    </w:pPr>
    <w:r w:rsidRPr="00B75C2B">
      <w:rPr>
        <w:rFonts w:ascii="標楷體" w:eastAsia="標楷體" w:hAnsi="標楷體" w:hint="eastAsia"/>
        <w:sz w:val="20"/>
        <w:szCs w:val="20"/>
      </w:rPr>
      <w:t>申請案編碼:191301；公告期限:4天</w:t>
    </w:r>
  </w:p>
  <w:p w:rsidR="00F95F41" w:rsidRPr="00F95F41" w:rsidRDefault="00F95F41" w:rsidP="00F95F41">
    <w:pPr>
      <w:jc w:val="center"/>
      <w:rPr>
        <w:rFonts w:ascii="標楷體" w:eastAsia="標楷體" w:hAnsi="標楷體"/>
        <w:sz w:val="20"/>
        <w:szCs w:val="20"/>
      </w:rPr>
    </w:pPr>
    <w:r w:rsidRPr="00B75C2B">
      <w:rPr>
        <w:rFonts w:ascii="標楷體" w:eastAsia="標楷體" w:hAnsi="標楷體" w:hint="eastAsia"/>
        <w:sz w:val="20"/>
        <w:szCs w:val="20"/>
      </w:rPr>
      <w:t>(民)</w:t>
    </w:r>
    <w:proofErr w:type="gramStart"/>
    <w:r w:rsidRPr="00B75C2B">
      <w:rPr>
        <w:rFonts w:ascii="標楷體" w:eastAsia="標楷體" w:hAnsi="標楷體" w:hint="eastAsia"/>
        <w:sz w:val="20"/>
        <w:szCs w:val="20"/>
      </w:rPr>
      <w:t>文淡古</w:t>
    </w:r>
    <w:proofErr w:type="gramEnd"/>
    <w:r w:rsidRPr="00B75C2B">
      <w:rPr>
        <w:rFonts w:ascii="標楷體" w:eastAsia="標楷體" w:hAnsi="標楷體" w:hint="eastAsia"/>
        <w:sz w:val="20"/>
        <w:szCs w:val="20"/>
      </w:rPr>
      <w:t>01-附件一</w:t>
    </w:r>
    <w:r w:rsidRPr="00B75C2B">
      <w:rPr>
        <w:rStyle w:val="a7"/>
        <w:rFonts w:ascii="標楷體" w:eastAsia="標楷體" w:hAnsi="標楷體"/>
        <w:sz w:val="20"/>
        <w:szCs w:val="20"/>
      </w:rPr>
      <w:fldChar w:fldCharType="begin"/>
    </w:r>
    <w:r w:rsidRPr="00B75C2B">
      <w:rPr>
        <w:rStyle w:val="a7"/>
        <w:rFonts w:ascii="標楷體" w:eastAsia="標楷體" w:hAnsi="標楷體"/>
        <w:sz w:val="20"/>
        <w:szCs w:val="20"/>
      </w:rPr>
      <w:instrText xml:space="preserve"> PAGE </w:instrText>
    </w:r>
    <w:r w:rsidRPr="00B75C2B">
      <w:rPr>
        <w:rStyle w:val="a7"/>
        <w:rFonts w:ascii="標楷體" w:eastAsia="標楷體" w:hAnsi="標楷體"/>
        <w:sz w:val="20"/>
        <w:szCs w:val="20"/>
      </w:rPr>
      <w:fldChar w:fldCharType="separate"/>
    </w:r>
    <w:r w:rsidR="006C3BB5">
      <w:rPr>
        <w:rStyle w:val="a7"/>
        <w:rFonts w:ascii="標楷體" w:eastAsia="標楷體" w:hAnsi="標楷體"/>
        <w:noProof/>
        <w:sz w:val="20"/>
        <w:szCs w:val="20"/>
      </w:rPr>
      <w:t>2</w:t>
    </w:r>
    <w:r w:rsidRPr="00B75C2B">
      <w:rPr>
        <w:rStyle w:val="a7"/>
        <w:rFonts w:ascii="標楷體" w:eastAsia="標楷體" w:hAnsi="標楷體"/>
        <w:sz w:val="20"/>
        <w:szCs w:val="20"/>
      </w:rPr>
      <w:fldChar w:fldCharType="end"/>
    </w:r>
    <w:r w:rsidRPr="00B75C2B">
      <w:rPr>
        <w:rStyle w:val="a7"/>
        <w:rFonts w:ascii="標楷體" w:eastAsia="標楷體" w:hAnsi="標楷體" w:hint="eastAsia"/>
        <w:sz w:val="20"/>
        <w:szCs w:val="20"/>
      </w:rPr>
      <w:t>/</w:t>
    </w:r>
    <w:r w:rsidRPr="00B75C2B">
      <w:rPr>
        <w:rStyle w:val="a7"/>
        <w:rFonts w:ascii="標楷體" w:eastAsia="標楷體" w:hAnsi="標楷體"/>
        <w:sz w:val="20"/>
        <w:szCs w:val="20"/>
      </w:rPr>
      <w:fldChar w:fldCharType="begin"/>
    </w:r>
    <w:r w:rsidRPr="00B75C2B">
      <w:rPr>
        <w:rStyle w:val="a7"/>
        <w:rFonts w:ascii="標楷體" w:eastAsia="標楷體" w:hAnsi="標楷體"/>
        <w:sz w:val="20"/>
        <w:szCs w:val="20"/>
      </w:rPr>
      <w:instrText xml:space="preserve"> NUMPAGES </w:instrText>
    </w:r>
    <w:r w:rsidRPr="00B75C2B">
      <w:rPr>
        <w:rStyle w:val="a7"/>
        <w:rFonts w:ascii="標楷體" w:eastAsia="標楷體" w:hAnsi="標楷體"/>
        <w:sz w:val="20"/>
        <w:szCs w:val="20"/>
      </w:rPr>
      <w:fldChar w:fldCharType="separate"/>
    </w:r>
    <w:r w:rsidR="006C3BB5">
      <w:rPr>
        <w:rStyle w:val="a7"/>
        <w:rFonts w:ascii="標楷體" w:eastAsia="標楷體" w:hAnsi="標楷體"/>
        <w:noProof/>
        <w:sz w:val="20"/>
        <w:szCs w:val="20"/>
      </w:rPr>
      <w:t>2</w:t>
    </w:r>
    <w:r w:rsidRPr="00B75C2B">
      <w:rPr>
        <w:rStyle w:val="a7"/>
        <w:rFonts w:ascii="標楷體" w:eastAsia="標楷體" w:hAnsi="標楷體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76E" w:rsidRDefault="00F5676E" w:rsidP="00F95F41">
      <w:r>
        <w:separator/>
      </w:r>
    </w:p>
  </w:footnote>
  <w:footnote w:type="continuationSeparator" w:id="0">
    <w:p w:rsidR="00F5676E" w:rsidRDefault="00F5676E" w:rsidP="00F9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BD3"/>
    <w:multiLevelType w:val="hybridMultilevel"/>
    <w:tmpl w:val="5C406544"/>
    <w:lvl w:ilvl="0" w:tplc="EF16E48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63D7E"/>
    <w:multiLevelType w:val="hybridMultilevel"/>
    <w:tmpl w:val="9F98F400"/>
    <w:lvl w:ilvl="0" w:tplc="11903C5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9FB1C08"/>
    <w:multiLevelType w:val="hybridMultilevel"/>
    <w:tmpl w:val="5C406544"/>
    <w:lvl w:ilvl="0" w:tplc="EF16E48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61734F2"/>
    <w:multiLevelType w:val="hybridMultilevel"/>
    <w:tmpl w:val="BEF413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876921"/>
    <w:multiLevelType w:val="hybridMultilevel"/>
    <w:tmpl w:val="D9B243D0"/>
    <w:lvl w:ilvl="0" w:tplc="E2F0BCE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56FC37D9"/>
    <w:multiLevelType w:val="hybridMultilevel"/>
    <w:tmpl w:val="65B8D606"/>
    <w:lvl w:ilvl="0" w:tplc="EF16E48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F16E48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0C2EBE"/>
    <w:multiLevelType w:val="hybridMultilevel"/>
    <w:tmpl w:val="EB72FFC2"/>
    <w:lvl w:ilvl="0" w:tplc="11903C5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72F86497"/>
    <w:multiLevelType w:val="hybridMultilevel"/>
    <w:tmpl w:val="ED989BF6"/>
    <w:lvl w:ilvl="0" w:tplc="E2F0BCE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41"/>
    <w:rsid w:val="001A1E7C"/>
    <w:rsid w:val="001C6B89"/>
    <w:rsid w:val="001F647D"/>
    <w:rsid w:val="00346C40"/>
    <w:rsid w:val="0041239A"/>
    <w:rsid w:val="006C3BB5"/>
    <w:rsid w:val="00864C58"/>
    <w:rsid w:val="008A3342"/>
    <w:rsid w:val="008A7BBB"/>
    <w:rsid w:val="00945037"/>
    <w:rsid w:val="009A2F6B"/>
    <w:rsid w:val="00A32B35"/>
    <w:rsid w:val="00AB22B5"/>
    <w:rsid w:val="00BB53A5"/>
    <w:rsid w:val="00E23C0E"/>
    <w:rsid w:val="00F43EBF"/>
    <w:rsid w:val="00F5676E"/>
    <w:rsid w:val="00F95F41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1F0DB"/>
  <w15:chartTrackingRefBased/>
  <w15:docId w15:val="{A23496C9-D5E7-4A6F-B535-F8E6152E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5F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5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5F41"/>
    <w:rPr>
      <w:sz w:val="20"/>
      <w:szCs w:val="20"/>
    </w:rPr>
  </w:style>
  <w:style w:type="character" w:styleId="a7">
    <w:name w:val="page number"/>
    <w:basedOn w:val="a0"/>
    <w:rsid w:val="00F95F41"/>
  </w:style>
  <w:style w:type="paragraph" w:styleId="a8">
    <w:name w:val="List Paragraph"/>
    <w:basedOn w:val="a"/>
    <w:uiPriority w:val="34"/>
    <w:qFormat/>
    <w:rsid w:val="009450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簡秀珊</dc:creator>
  <cp:keywords/>
  <dc:description/>
  <cp:lastModifiedBy>簡秀珊</cp:lastModifiedBy>
  <cp:revision>11</cp:revision>
  <cp:lastPrinted>2020-12-17T07:03:00Z</cp:lastPrinted>
  <dcterms:created xsi:type="dcterms:W3CDTF">2020-12-14T08:56:00Z</dcterms:created>
  <dcterms:modified xsi:type="dcterms:W3CDTF">2020-12-17T07:03:00Z</dcterms:modified>
</cp:coreProperties>
</file>